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B4" w:rsidRDefault="005834B4" w:rsidP="005834B4">
      <w:pPr>
        <w:framePr w:h="900" w:hRule="exact" w:hSpace="36" w:wrap="auto" w:vAnchor="text" w:hAnchor="page" w:x="1720" w:y="-245"/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4435CB" w:rsidRDefault="004435CB" w:rsidP="005834B4">
      <w:pPr>
        <w:framePr w:h="900" w:hRule="exact" w:hSpace="36" w:wrap="auto" w:vAnchor="text" w:hAnchor="page" w:x="1720" w:y="-245"/>
        <w:shd w:val="clear" w:color="auto" w:fill="FFFFFF"/>
        <w:spacing w:line="900" w:lineRule="exact"/>
      </w:pPr>
    </w:p>
    <w:p w:rsidR="004435CB" w:rsidRDefault="0084714C" w:rsidP="00061829">
      <w:pPr>
        <w:shd w:val="clear" w:color="auto" w:fill="FFFFFF"/>
        <w:spacing w:before="252" w:line="511" w:lineRule="exact"/>
        <w:ind w:left="7" w:right="-1082"/>
      </w:pPr>
      <w:r>
        <w:br w:type="column"/>
      </w:r>
      <w:r>
        <w:rPr>
          <w:rFonts w:eastAsia="Times New Roman" w:cs="Times New Roman"/>
          <w:b/>
          <w:bCs/>
          <w:sz w:val="42"/>
          <w:szCs w:val="42"/>
        </w:rPr>
        <w:lastRenderedPageBreak/>
        <w:t>ТЕХНИЧЕСКОЕ ОПИСАНИЕ</w:t>
      </w:r>
    </w:p>
    <w:p w:rsidR="004435CB" w:rsidRDefault="004435CB">
      <w:pPr>
        <w:shd w:val="clear" w:color="auto" w:fill="FFFFFF"/>
        <w:spacing w:before="252" w:line="511" w:lineRule="exact"/>
        <w:ind w:left="7"/>
        <w:sectPr w:rsidR="004435CB">
          <w:type w:val="continuous"/>
          <w:pgSz w:w="11909" w:h="16834"/>
          <w:pgMar w:top="875" w:right="1937" w:bottom="360" w:left="2153" w:header="720" w:footer="720" w:gutter="0"/>
          <w:cols w:num="2" w:space="720" w:equalWidth="0">
            <w:col w:w="3189" w:space="1368"/>
            <w:col w:w="3261"/>
          </w:cols>
          <w:noEndnote/>
        </w:sectPr>
      </w:pPr>
    </w:p>
    <w:p w:rsidR="004435CB" w:rsidRDefault="0084714C">
      <w:pPr>
        <w:shd w:val="clear" w:color="auto" w:fill="FFFFFF"/>
        <w:spacing w:before="540" w:after="598"/>
        <w:ind w:left="65"/>
      </w:pPr>
      <w:r>
        <w:rPr>
          <w:rFonts w:eastAsia="Times New Roman" w:cs="Times New Roman"/>
          <w:b/>
          <w:bCs/>
          <w:sz w:val="36"/>
          <w:szCs w:val="36"/>
        </w:rPr>
        <w:lastRenderedPageBreak/>
        <w:t>НЕЙТРАЛИЗАТОР</w:t>
      </w:r>
      <w:r>
        <w:rPr>
          <w:rFonts w:eastAsia="Times New Roman"/>
          <w:b/>
          <w:bCs/>
          <w:sz w:val="36"/>
          <w:szCs w:val="36"/>
        </w:rPr>
        <w:t xml:space="preserve">    </w:t>
      </w:r>
      <w:r>
        <w:rPr>
          <w:rFonts w:eastAsia="Times New Roman" w:cs="Times New Roman"/>
          <w:b/>
          <w:bCs/>
          <w:sz w:val="36"/>
          <w:szCs w:val="36"/>
        </w:rPr>
        <w:t>ГЕРКУЛЕС</w:t>
      </w:r>
      <w:r>
        <w:rPr>
          <w:rFonts w:eastAsia="Times New Roman"/>
          <w:b/>
          <w:bCs/>
          <w:sz w:val="36"/>
          <w:szCs w:val="36"/>
        </w:rPr>
        <w:t xml:space="preserve"> 54505</w:t>
      </w:r>
    </w:p>
    <w:p w:rsidR="004435CB" w:rsidRDefault="004435CB">
      <w:pPr>
        <w:shd w:val="clear" w:color="auto" w:fill="FFFFFF"/>
        <w:spacing w:before="540" w:after="598"/>
        <w:ind w:left="65"/>
        <w:sectPr w:rsidR="004435CB">
          <w:type w:val="continuous"/>
          <w:pgSz w:w="11909" w:h="16834"/>
          <w:pgMar w:top="875" w:right="670" w:bottom="360" w:left="1786" w:header="720" w:footer="720" w:gutter="0"/>
          <w:cols w:space="60"/>
          <w:noEndnote/>
        </w:sectPr>
      </w:pPr>
    </w:p>
    <w:p w:rsidR="004435CB" w:rsidRDefault="0084714C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4435CB" w:rsidRDefault="0084714C">
      <w:pPr>
        <w:shd w:val="clear" w:color="auto" w:fill="FFFFFF"/>
        <w:spacing w:before="137" w:line="209" w:lineRule="exact"/>
      </w:pPr>
      <w:r>
        <w:rPr>
          <w:rFonts w:eastAsia="Times New Roman" w:cs="Times New Roman"/>
          <w:sz w:val="18"/>
          <w:szCs w:val="18"/>
        </w:rPr>
        <w:t>Нейтрализатор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54505" </w:t>
      </w:r>
      <w:r>
        <w:rPr>
          <w:rFonts w:eastAsia="Times New Roman" w:cs="Times New Roman"/>
          <w:sz w:val="18"/>
          <w:szCs w:val="18"/>
        </w:rPr>
        <w:t>представляет собой</w:t>
      </w:r>
      <w:r>
        <w:rPr>
          <w:rFonts w:eastAsia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концентрированный</w:t>
      </w:r>
      <w:r>
        <w:rPr>
          <w:rFonts w:eastAsia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раствор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аминов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Нейтрализатор</w:t>
      </w:r>
      <w:r>
        <w:rPr>
          <w:rFonts w:eastAsia="Times New Roman"/>
          <w:sz w:val="18"/>
          <w:szCs w:val="18"/>
        </w:rPr>
        <w:t xml:space="preserve">     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     54505"      </w:t>
      </w:r>
      <w:r>
        <w:rPr>
          <w:rFonts w:eastAsia="Times New Roman" w:cs="Times New Roman"/>
          <w:sz w:val="18"/>
          <w:szCs w:val="18"/>
        </w:rPr>
        <w:t>может производиться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двух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марок</w:t>
      </w:r>
      <w:r>
        <w:rPr>
          <w:rFonts w:eastAsia="Times New Roman"/>
          <w:sz w:val="18"/>
          <w:szCs w:val="18"/>
        </w:rPr>
        <w:t xml:space="preserve">: □ </w:t>
      </w:r>
      <w:r>
        <w:rPr>
          <w:rFonts w:eastAsia="Times New Roman" w:cs="Times New Roman"/>
          <w:sz w:val="18"/>
          <w:szCs w:val="18"/>
        </w:rPr>
        <w:t>марка</w:t>
      </w:r>
      <w:proofErr w:type="gramStart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</w:t>
      </w:r>
      <w:proofErr w:type="gramEnd"/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раствора</w:t>
      </w:r>
      <w:r>
        <w:rPr>
          <w:rFonts w:eastAsia="Times New Roman"/>
          <w:sz w:val="18"/>
          <w:szCs w:val="18"/>
        </w:rPr>
        <w:t>;</w:t>
      </w:r>
    </w:p>
    <w:p w:rsidR="004435CB" w:rsidRDefault="0084714C">
      <w:pPr>
        <w:shd w:val="clear" w:color="auto" w:fill="FFFFFF"/>
        <w:tabs>
          <w:tab w:val="left" w:pos="2124"/>
          <w:tab w:val="left" w:pos="3658"/>
        </w:tabs>
        <w:spacing w:line="209" w:lineRule="exact"/>
        <w:ind w:left="7" w:firstLine="216"/>
      </w:pPr>
      <w:r>
        <w:rPr>
          <w:rFonts w:eastAsia="Times New Roman" w:cs="Times New Roman"/>
          <w:sz w:val="18"/>
          <w:szCs w:val="18"/>
        </w:rPr>
        <w:t>марка</w:t>
      </w:r>
      <w:proofErr w:type="gramStart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</w:t>
      </w:r>
      <w:proofErr w:type="gramEnd"/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ароматическом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растворителе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Нейтрализатор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обладает</w:t>
      </w:r>
      <w:r>
        <w:rPr>
          <w:rFonts w:eastAsia="Times New Roman"/>
          <w:sz w:val="18"/>
          <w:szCs w:val="18"/>
        </w:rPr>
        <w:tab/>
      </w:r>
      <w:proofErr w:type="gramStart"/>
      <w:r>
        <w:rPr>
          <w:rFonts w:eastAsia="Times New Roman" w:cs="Times New Roman"/>
          <w:sz w:val="18"/>
          <w:szCs w:val="18"/>
        </w:rPr>
        <w:t>высокой</w:t>
      </w:r>
      <w:proofErr w:type="gramEnd"/>
    </w:p>
    <w:p w:rsidR="004435CB" w:rsidRDefault="0084714C">
      <w:pPr>
        <w:shd w:val="clear" w:color="auto" w:fill="FFFFFF"/>
        <w:spacing w:line="209" w:lineRule="exact"/>
        <w:ind w:right="7"/>
        <w:jc w:val="both"/>
      </w:pPr>
      <w:r>
        <w:rPr>
          <w:rFonts w:eastAsia="Times New Roman" w:cs="Times New Roman"/>
          <w:sz w:val="18"/>
          <w:szCs w:val="18"/>
        </w:rPr>
        <w:t>нейтрализующей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способностью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позволяет устойчиво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удерживать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уровень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рН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дренажной воды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узких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пределах</w:t>
      </w:r>
      <w:r>
        <w:rPr>
          <w:rFonts w:eastAsia="Times New Roman"/>
          <w:sz w:val="18"/>
          <w:szCs w:val="18"/>
        </w:rPr>
        <w:t xml:space="preserve"> 5,5 - 6,5. </w:t>
      </w:r>
      <w:r>
        <w:rPr>
          <w:rFonts w:eastAsia="Times New Roman" w:cs="Times New Roman"/>
          <w:sz w:val="18"/>
          <w:szCs w:val="18"/>
        </w:rPr>
        <w:t>Продукты нейтрализации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образуют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отложений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 поверхности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металла</w:t>
      </w:r>
      <w:r>
        <w:rPr>
          <w:rFonts w:eastAsia="Times New Roman"/>
          <w:sz w:val="18"/>
          <w:szCs w:val="18"/>
        </w:rPr>
        <w:t>.</w:t>
      </w:r>
    </w:p>
    <w:p w:rsidR="004435CB" w:rsidRDefault="0084714C">
      <w:pPr>
        <w:shd w:val="clear" w:color="auto" w:fill="FFFFFF"/>
        <w:ind w:left="14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4435CB" w:rsidRDefault="0084714C">
      <w:pPr>
        <w:shd w:val="clear" w:color="auto" w:fill="FFFFFF"/>
        <w:spacing w:before="137" w:line="216" w:lineRule="exact"/>
        <w:jc w:val="both"/>
      </w:pPr>
      <w:r>
        <w:rPr>
          <w:rFonts w:eastAsia="Times New Roman" w:cs="Times New Roman"/>
          <w:sz w:val="18"/>
          <w:szCs w:val="18"/>
        </w:rPr>
        <w:t>Растворимость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марки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нейтрализатора </w:t>
      </w:r>
      <w:r>
        <w:rPr>
          <w:rFonts w:eastAsia="Times New Roman"/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54505".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промышленном применении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нейтрализатора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установках первичной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переработки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рекомендуется подавать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54505"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водного раствора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марка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бензине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марка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>).</w:t>
      </w:r>
    </w:p>
    <w:p w:rsidR="004435CB" w:rsidRDefault="004435CB">
      <w:pPr>
        <w:shd w:val="clear" w:color="auto" w:fill="FFFFFF"/>
        <w:spacing w:before="137" w:line="216" w:lineRule="exact"/>
        <w:jc w:val="both"/>
        <w:sectPr w:rsidR="004435CB">
          <w:type w:val="continuous"/>
          <w:pgSz w:w="11909" w:h="16834"/>
          <w:pgMar w:top="875" w:right="778" w:bottom="360" w:left="1829" w:header="720" w:footer="720" w:gutter="0"/>
          <w:cols w:num="2" w:space="720" w:equalWidth="0">
            <w:col w:w="4478" w:space="338"/>
            <w:col w:w="4485"/>
          </w:cols>
          <w:noEndnote/>
        </w:sectPr>
      </w:pPr>
    </w:p>
    <w:p w:rsidR="004435CB" w:rsidRDefault="004435CB">
      <w:pPr>
        <w:spacing w:before="475" w:line="1" w:lineRule="exact"/>
        <w:rPr>
          <w:sz w:val="2"/>
          <w:szCs w:val="2"/>
        </w:rPr>
      </w:pPr>
    </w:p>
    <w:p w:rsidR="004435CB" w:rsidRDefault="004435CB">
      <w:pPr>
        <w:shd w:val="clear" w:color="auto" w:fill="FFFFFF"/>
        <w:spacing w:before="137" w:line="216" w:lineRule="exact"/>
        <w:jc w:val="both"/>
        <w:sectPr w:rsidR="004435CB">
          <w:type w:val="continuous"/>
          <w:pgSz w:w="11909" w:h="16834"/>
          <w:pgMar w:top="875" w:right="792" w:bottom="360" w:left="1822" w:header="720" w:footer="720" w:gutter="0"/>
          <w:cols w:space="60"/>
          <w:noEndnote/>
        </w:sectPr>
      </w:pPr>
    </w:p>
    <w:p w:rsidR="004435CB" w:rsidRDefault="0084714C">
      <w:pPr>
        <w:shd w:val="clear" w:color="auto" w:fill="FFFFFF"/>
        <w:ind w:left="7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4435CB" w:rsidRDefault="0084714C">
      <w:pPr>
        <w:shd w:val="clear" w:color="auto" w:fill="FFFFFF"/>
        <w:spacing w:before="137" w:line="216" w:lineRule="exact"/>
        <w:jc w:val="both"/>
      </w:pPr>
      <w:r>
        <w:rPr>
          <w:rFonts w:eastAsia="Times New Roman" w:cs="Times New Roman"/>
          <w:sz w:val="18"/>
          <w:szCs w:val="18"/>
        </w:rPr>
        <w:t>Нейтрализатор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54505" </w:t>
      </w:r>
      <w:r>
        <w:rPr>
          <w:rFonts w:eastAsia="Times New Roman" w:cs="Times New Roman"/>
          <w:sz w:val="18"/>
          <w:szCs w:val="18"/>
        </w:rPr>
        <w:t>применяется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нефтеперерабатывающей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предназначен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обеспечения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эффективного контроля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величиной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рН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конденсационно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х</w:t>
      </w:r>
      <w:proofErr w:type="gramEnd"/>
      <w:r>
        <w:rPr>
          <w:rFonts w:eastAsia="Times New Roman" w:cs="Times New Roman"/>
          <w:sz w:val="18"/>
          <w:szCs w:val="18"/>
        </w:rPr>
        <w:t>олодильных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установок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первичной переработки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Нейтрализатор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 xml:space="preserve">ГЕРКУЛЕС </w:t>
      </w:r>
      <w:r>
        <w:rPr>
          <w:rFonts w:eastAsia="Times New Roman"/>
          <w:sz w:val="18"/>
          <w:szCs w:val="18"/>
        </w:rPr>
        <w:t xml:space="preserve">54505" </w:t>
      </w:r>
      <w:r>
        <w:rPr>
          <w:rFonts w:eastAsia="Times New Roman" w:cs="Times New Roman"/>
          <w:sz w:val="18"/>
          <w:szCs w:val="18"/>
        </w:rPr>
        <w:t>производится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соответствии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ТУ</w:t>
      </w:r>
      <w:r>
        <w:rPr>
          <w:rFonts w:eastAsia="Times New Roman"/>
          <w:sz w:val="18"/>
          <w:szCs w:val="18"/>
        </w:rPr>
        <w:t xml:space="preserve"> 38.401 -</w:t>
      </w:r>
      <w:r>
        <w:rPr>
          <w:rFonts w:eastAsia="Times New Roman"/>
          <w:spacing w:val="25"/>
          <w:sz w:val="18"/>
          <w:szCs w:val="18"/>
        </w:rPr>
        <w:t>58-238-01.</w:t>
      </w:r>
    </w:p>
    <w:p w:rsidR="004435CB" w:rsidRDefault="0084714C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4435CB" w:rsidRDefault="0084714C">
      <w:pPr>
        <w:shd w:val="clear" w:color="auto" w:fill="FFFFFF"/>
        <w:tabs>
          <w:tab w:val="left" w:pos="1231"/>
          <w:tab w:val="left" w:pos="1937"/>
        </w:tabs>
        <w:spacing w:before="137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Эффективность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нейтрализатора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54505"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>,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поэтому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 w:cs="Times New Roman"/>
          <w:sz w:val="18"/>
          <w:szCs w:val="18"/>
        </w:rPr>
        <w:br/>
        <w:t>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колеба</w:t>
      </w:r>
      <w:r>
        <w:rPr>
          <w:rFonts w:eastAsia="Times New Roman"/>
          <w:sz w:val="18"/>
          <w:szCs w:val="18"/>
        </w:rPr>
        <w:t>1</w:t>
      </w:r>
      <w:r>
        <w:rPr>
          <w:rFonts w:eastAsia="Times New Roman" w:cs="Times New Roman"/>
          <w:sz w:val="18"/>
          <w:szCs w:val="18"/>
        </w:rPr>
        <w:t>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3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20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тонна</w:t>
      </w:r>
      <w:r>
        <w:rPr>
          <w:rFonts w:eastAsia="Times New Roman"/>
          <w:sz w:val="18"/>
          <w:szCs w:val="18"/>
        </w:rPr>
        <w:tab/>
      </w:r>
      <w:proofErr w:type="gramStart"/>
      <w:r>
        <w:rPr>
          <w:rFonts w:eastAsia="Times New Roman" w:cs="Times New Roman"/>
          <w:spacing w:val="-1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нефтеперерабатывающих</w:t>
      </w:r>
    </w:p>
    <w:p w:rsidR="004435CB" w:rsidRDefault="0084714C">
      <w:pPr>
        <w:shd w:val="clear" w:color="auto" w:fill="FFFFFF"/>
        <w:spacing w:line="216" w:lineRule="exact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предприятиях</w:t>
      </w:r>
      <w:proofErr w:type="gramEnd"/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Подачу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нейтрализатора рекомендуется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осуществлять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помощью дозировочного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насоса</w:t>
      </w:r>
      <w:r>
        <w:rPr>
          <w:rFonts w:eastAsia="Times New Roman"/>
          <w:sz w:val="18"/>
          <w:szCs w:val="18"/>
        </w:rPr>
        <w:t>.</w:t>
      </w:r>
    </w:p>
    <w:p w:rsidR="004435CB" w:rsidRDefault="004435CB">
      <w:pPr>
        <w:shd w:val="clear" w:color="auto" w:fill="FFFFFF"/>
        <w:spacing w:line="216" w:lineRule="exact"/>
        <w:jc w:val="both"/>
        <w:sectPr w:rsidR="004435CB">
          <w:type w:val="continuous"/>
          <w:pgSz w:w="11909" w:h="16834"/>
          <w:pgMar w:top="875" w:right="792" w:bottom="360" w:left="1822" w:header="720" w:footer="720" w:gutter="0"/>
          <w:cols w:num="2" w:space="720" w:equalWidth="0">
            <w:col w:w="4471" w:space="338"/>
            <w:col w:w="4485"/>
          </w:cols>
          <w:noEndnote/>
        </w:sectPr>
      </w:pPr>
    </w:p>
    <w:p w:rsidR="004435CB" w:rsidRDefault="0084714C">
      <w:pPr>
        <w:shd w:val="clear" w:color="auto" w:fill="FFFFFF"/>
        <w:spacing w:before="418"/>
        <w:ind w:left="65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4435CB" w:rsidRDefault="004435CB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3"/>
        <w:gridCol w:w="4759"/>
      </w:tblGrid>
      <w:tr w:rsidR="004435CB">
        <w:trPr>
          <w:trHeight w:hRule="exact" w:val="389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ind w:left="3082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4435CB">
        <w:trPr>
          <w:trHeight w:hRule="exact" w:val="3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ind w:left="3924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бесцветного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светло</w:t>
            </w:r>
            <w:r>
              <w:rPr>
                <w:rFonts w:eastAsia="Times New Roman"/>
                <w:sz w:val="18"/>
                <w:szCs w:val="18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</w:rPr>
              <w:t>коричневого</w:t>
            </w:r>
          </w:p>
        </w:tc>
      </w:tr>
      <w:tr w:rsidR="004435CB">
        <w:trPr>
          <w:trHeight w:hRule="exact" w:val="68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ind w:left="2837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мл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spacing w:line="346" w:lineRule="exact"/>
              <w:ind w:left="65" w:right="1548"/>
            </w:pPr>
            <w:r>
              <w:rPr>
                <w:rFonts w:eastAsia="Times New Roman" w:cs="Times New Roman"/>
                <w:sz w:val="18"/>
                <w:szCs w:val="18"/>
              </w:rPr>
              <w:t>Марка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: 973 - 984 </w:t>
            </w:r>
            <w:r>
              <w:rPr>
                <w:rFonts w:eastAsia="Times New Roman" w:cs="Times New Roman"/>
                <w:sz w:val="18"/>
                <w:szCs w:val="18"/>
              </w:rPr>
              <w:t>кг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r>
              <w:rPr>
                <w:rFonts w:eastAsia="Times New Roman" w:cs="Times New Roman"/>
                <w:sz w:val="18"/>
                <w:szCs w:val="18"/>
              </w:rPr>
              <w:t>°С Марка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А</w:t>
            </w:r>
            <w:r>
              <w:rPr>
                <w:rFonts w:eastAsia="Times New Roman"/>
                <w:sz w:val="18"/>
                <w:szCs w:val="18"/>
              </w:rPr>
              <w:t xml:space="preserve">: 870 - 890 </w:t>
            </w:r>
            <w:r>
              <w:rPr>
                <w:rFonts w:eastAsia="Times New Roman" w:cs="Times New Roman"/>
                <w:sz w:val="18"/>
                <w:szCs w:val="18"/>
              </w:rPr>
              <w:t>кг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</w:p>
        </w:tc>
      </w:tr>
      <w:tr w:rsidR="004435CB">
        <w:trPr>
          <w:trHeight w:hRule="exact" w:val="338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ind w:left="2059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-35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  <w:tr w:rsidR="004435CB">
        <w:trPr>
          <w:trHeight w:hRule="exact" w:val="35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ind w:left="446"/>
            </w:pPr>
            <w:r>
              <w:rPr>
                <w:rFonts w:eastAsia="Times New Roman" w:cs="Times New Roman"/>
                <w:sz w:val="18"/>
                <w:szCs w:val="18"/>
              </w:rPr>
              <w:t>Нейтрализующая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способность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г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экв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HCI</w:t>
            </w:r>
            <w:r w:rsidRPr="0084714C"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CB" w:rsidRDefault="0084714C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0,300</w:t>
            </w:r>
          </w:p>
        </w:tc>
      </w:tr>
    </w:tbl>
    <w:p w:rsidR="004435CB" w:rsidRDefault="004435CB">
      <w:pPr>
        <w:sectPr w:rsidR="004435CB">
          <w:type w:val="continuous"/>
          <w:pgSz w:w="11909" w:h="16834"/>
          <w:pgMar w:top="875" w:right="670" w:bottom="360" w:left="1786" w:header="720" w:footer="720" w:gutter="0"/>
          <w:cols w:space="60"/>
          <w:noEndnote/>
        </w:sectPr>
      </w:pPr>
    </w:p>
    <w:p w:rsidR="004435CB" w:rsidRDefault="0084714C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4435CB" w:rsidRDefault="0084714C">
      <w:pPr>
        <w:shd w:val="clear" w:color="auto" w:fill="FFFFFF"/>
        <w:spacing w:before="115" w:line="223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Заключение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допуске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"</w:t>
      </w:r>
      <w:proofErr w:type="gramStart"/>
      <w:r>
        <w:rPr>
          <w:rFonts w:eastAsia="Times New Roman" w:cs="Times New Roman"/>
          <w:sz w:val="18"/>
          <w:szCs w:val="18"/>
        </w:rPr>
        <w:t>ГЕРКУЛЕС</w:t>
      </w:r>
      <w:proofErr w:type="gramEnd"/>
      <w:r>
        <w:rPr>
          <w:rFonts w:eastAsia="Times New Roman"/>
          <w:sz w:val="18"/>
          <w:szCs w:val="18"/>
        </w:rPr>
        <w:t xml:space="preserve"> 54505"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гигиенический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 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предоставлены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промышленном применении</w:t>
      </w:r>
      <w:r>
        <w:rPr>
          <w:rFonts w:eastAsia="Times New Roman"/>
          <w:sz w:val="18"/>
          <w:szCs w:val="18"/>
        </w:rPr>
        <w:t>.</w:t>
      </w:r>
    </w:p>
    <w:p w:rsidR="004435CB" w:rsidRDefault="0084714C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4435CB" w:rsidRDefault="0084714C">
      <w:pPr>
        <w:shd w:val="clear" w:color="auto" w:fill="FFFFFF"/>
        <w:spacing w:before="130" w:line="223" w:lineRule="exact"/>
        <w:jc w:val="both"/>
      </w:pPr>
      <w:r>
        <w:rPr>
          <w:rFonts w:eastAsia="Times New Roman" w:cs="Times New Roman"/>
          <w:sz w:val="18"/>
          <w:szCs w:val="18"/>
        </w:rPr>
        <w:t>Нейтрализатор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54505" </w:t>
      </w:r>
      <w:r>
        <w:rPr>
          <w:rFonts w:eastAsia="Times New Roman" w:cs="Times New Roman"/>
          <w:sz w:val="18"/>
          <w:szCs w:val="18"/>
        </w:rPr>
        <w:t>может поставляться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наливом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стальных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 бочках</w:t>
      </w:r>
      <w:r>
        <w:rPr>
          <w:rFonts w:eastAsia="Times New Roman"/>
          <w:sz w:val="18"/>
          <w:szCs w:val="18"/>
        </w:rPr>
        <w:t>.</w:t>
      </w:r>
    </w:p>
    <w:p w:rsidR="004435CB" w:rsidRDefault="004435CB">
      <w:pPr>
        <w:shd w:val="clear" w:color="auto" w:fill="FFFFFF"/>
        <w:spacing w:before="130" w:line="223" w:lineRule="exact"/>
        <w:jc w:val="both"/>
        <w:sectPr w:rsidR="004435CB">
          <w:type w:val="continuous"/>
          <w:pgSz w:w="11909" w:h="16834"/>
          <w:pgMar w:top="875" w:right="756" w:bottom="360" w:left="1807" w:header="720" w:footer="720" w:gutter="0"/>
          <w:cols w:num="2" w:space="720" w:equalWidth="0">
            <w:col w:w="4478" w:space="389"/>
            <w:col w:w="4478"/>
          </w:cols>
          <w:noEndnote/>
        </w:sectPr>
      </w:pPr>
    </w:p>
    <w:p w:rsidR="004435CB" w:rsidRDefault="0084714C">
      <w:pPr>
        <w:shd w:val="clear" w:color="auto" w:fill="FFFFFF"/>
        <w:spacing w:before="547"/>
      </w:pPr>
      <w:r>
        <w:rPr>
          <w:rFonts w:eastAsia="Times New Roman" w:cs="Times New Roman"/>
          <w:sz w:val="18"/>
          <w:szCs w:val="18"/>
        </w:rPr>
        <w:lastRenderedPageBreak/>
        <w:t>Дата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последнего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март</w:t>
      </w:r>
      <w:r>
        <w:rPr>
          <w:rFonts w:eastAsia="Times New Roman"/>
          <w:sz w:val="18"/>
          <w:szCs w:val="18"/>
        </w:rPr>
        <w:t xml:space="preserve"> 03.</w:t>
      </w:r>
    </w:p>
    <w:p w:rsidR="0084714C" w:rsidRDefault="0084714C">
      <w:pPr>
        <w:shd w:val="clear" w:color="auto" w:fill="FFFFFF"/>
        <w:spacing w:before="418" w:line="216" w:lineRule="exact"/>
        <w:ind w:left="14" w:right="130"/>
        <w:jc w:val="both"/>
      </w:pPr>
      <w:r>
        <w:rPr>
          <w:rFonts w:eastAsia="Times New Roman" w:cs="Times New Roman"/>
          <w:sz w:val="18"/>
          <w:szCs w:val="18"/>
        </w:rPr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84714C" w:rsidSect="004435CB">
      <w:type w:val="continuous"/>
      <w:pgSz w:w="11909" w:h="16834"/>
      <w:pgMar w:top="875" w:right="670" w:bottom="360" w:left="17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714C"/>
    <w:rsid w:val="00061829"/>
    <w:rsid w:val="004435CB"/>
    <w:rsid w:val="005834B4"/>
    <w:rsid w:val="0084714C"/>
    <w:rsid w:val="0096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3</cp:revision>
  <dcterms:created xsi:type="dcterms:W3CDTF">2013-05-23T10:39:00Z</dcterms:created>
  <dcterms:modified xsi:type="dcterms:W3CDTF">2013-05-23T11:26:00Z</dcterms:modified>
</cp:coreProperties>
</file>